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spacing w:lineRule="auto" w:line="240" w:before="0" w:after="0"/>
        <w:ind w:left="680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BodyText"/>
        <w:spacing w:lineRule="auto" w:line="2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BodyText"/>
        <w:spacing w:lineRule="auto" w:line="2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BodyText"/>
        <w:spacing w:lineRule="auto" w:line="2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BodyText"/>
        <w:spacing w:lineRule="auto" w:line="2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BodyText"/>
        <w:spacing w:lineRule="auto" w:line="24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BodyText"/>
        <w:widowControl w:val="false"/>
        <w:spacing w:lineRule="auto" w:line="240"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Heading2"/>
        <w:keepNext w:val="false"/>
        <w:widowControl w:val="false"/>
        <w:tabs>
          <w:tab w:val="clear" w:pos="708"/>
          <w:tab w:val="left" w:pos="1985" w:leader="none"/>
        </w:tabs>
        <w:spacing w:lineRule="auto" w:line="240"/>
        <w:ind w:right="5216"/>
        <w:jc w:val="both"/>
        <w:rPr>
          <w:rFonts w:ascii="Times New Roman" w:hAnsi="Times New Roman"/>
          <w:sz w:val="28"/>
          <w:szCs w:val="28"/>
        </w:rPr>
      </w:pPr>
      <w:r>
        <w:rPr>
          <w:rFonts w:cs="Times New Roman" w:ascii="Times New Roman" w:hAnsi="Times New Roman"/>
          <w:b w:val="false"/>
          <w:sz w:val="28"/>
          <w:szCs w:val="28"/>
        </w:rPr>
        <w:t>О Порядке предоставления методистам, старшим методистам, руководителям информационно-методических отделов управлений (отделов) образования муниципальных образований Республики Татарстан денежного поощрения из бюджета Республики Татарстан «Наш лучший методист»</w:t>
      </w:r>
    </w:p>
    <w:p>
      <w:pPr>
        <w:pStyle w:val="BodyText"/>
        <w:widowControl w:val="false"/>
        <w:spacing w:lineRule="auto" w:line="240" w:before="0" w:after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BodyText"/>
        <w:widowControl w:val="false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BodyText"/>
        <w:widowControl w:val="false"/>
        <w:spacing w:lineRule="auto" w:line="240" w:before="0"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Кабинет Министров Республики Татарстан ПОСТАНОВЛЯЕТ:</w:t>
      </w:r>
    </w:p>
    <w:p>
      <w:pPr>
        <w:pStyle w:val="BodyText"/>
        <w:widowControl w:val="false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BodyText"/>
        <w:widowControl w:val="false"/>
        <w:spacing w:lineRule="auto" w:line="240" w:before="0"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1. Установить </w:t>
      </w:r>
      <w:r>
        <w:rPr>
          <w:rFonts w:eastAsia="Calibri" w:cs="Times New Roman" w:ascii="Times New Roman" w:hAnsi="Times New Roman"/>
          <w:color w:val="000000"/>
          <w:sz w:val="28"/>
          <w:szCs w:val="28"/>
          <w:lang w:eastAsia="ru-RU"/>
        </w:rPr>
        <w:t>методистам, старшим методистам, руководителям информационно-методических отделов управлений (отделов) образования муниципальных образований Республики Татарстан денежное поощрение</w:t>
      </w:r>
      <w:r>
        <w:rPr>
          <w:rFonts w:cs="Times New Roman" w:ascii="Times New Roman" w:hAnsi="Times New Roman"/>
          <w:sz w:val="28"/>
          <w:szCs w:val="28"/>
        </w:rPr>
        <w:t xml:space="preserve"> «Наш лучший методист».</w:t>
      </w:r>
    </w:p>
    <w:p>
      <w:pPr>
        <w:pStyle w:val="BodyText"/>
        <w:widowControl w:val="false"/>
        <w:spacing w:lineRule="auto" w:line="240" w:before="0"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2. Утвердить прилагаемый Порядок предоставления </w:t>
      </w:r>
      <w:r>
        <w:rPr>
          <w:rFonts w:eastAsia="Calibri" w:cs="Times New Roman" w:ascii="Times New Roman" w:hAnsi="Times New Roman"/>
          <w:color w:val="000000"/>
          <w:sz w:val="28"/>
          <w:szCs w:val="28"/>
          <w:lang w:eastAsia="ru-RU"/>
        </w:rPr>
        <w:t xml:space="preserve">методистам, старшим методистам, руководителям информационно-методических отделов управлений (отделов) образования муниципальных образований Республики Татарстан денежного поощрения «Наш лучший методист». </w:t>
      </w:r>
    </w:p>
    <w:p>
      <w:pPr>
        <w:pStyle w:val="BodyText"/>
        <w:widowControl w:val="false"/>
        <w:spacing w:lineRule="auto" w:line="240" w:before="0"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3. Министерству образования и науки Республики Татарстан организовать работу по предоставлению </w:t>
      </w:r>
      <w:r>
        <w:rPr>
          <w:rFonts w:eastAsia="Calibri" w:cs="Times New Roman" w:ascii="Times New Roman" w:hAnsi="Times New Roman"/>
          <w:color w:val="000000"/>
          <w:sz w:val="28"/>
          <w:szCs w:val="28"/>
          <w:lang w:eastAsia="ru-RU"/>
        </w:rPr>
        <w:t>методистам, старшим методистам, руководителям информационно-методических отделов управлений (отделов) образования муниципальных образований Республики Татарстан денежного поощрения «Наш лучший методист»</w:t>
      </w:r>
      <w:r>
        <w:rPr>
          <w:rFonts w:cs="Times New Roman" w:ascii="Times New Roman" w:hAnsi="Times New Roman"/>
          <w:sz w:val="28"/>
          <w:szCs w:val="28"/>
        </w:rPr>
        <w:t>.</w:t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4. Контроль за исполнением настоящего постановления возложить на Министерство образования и науки Республики Татарстан.</w:t>
      </w:r>
    </w:p>
    <w:p>
      <w:pPr>
        <w:pStyle w:val="BodyText"/>
        <w:widowControl w:val="false"/>
        <w:tabs>
          <w:tab w:val="clear" w:pos="708"/>
          <w:tab w:val="left" w:pos="0" w:leader="none"/>
        </w:tabs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BodyText"/>
        <w:widowControl w:val="false"/>
        <w:tabs>
          <w:tab w:val="clear" w:pos="708"/>
          <w:tab w:val="left" w:pos="0" w:leader="none"/>
        </w:tabs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BodyText"/>
        <w:widowControl w:val="false"/>
        <w:tabs>
          <w:tab w:val="clear" w:pos="708"/>
          <w:tab w:val="left" w:pos="0" w:leader="none"/>
        </w:tabs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BodyText"/>
        <w:widowControl w:val="false"/>
        <w:tabs>
          <w:tab w:val="clear" w:pos="708"/>
          <w:tab w:val="left" w:pos="0" w:leader="none"/>
        </w:tabs>
        <w:spacing w:lineRule="auto" w:line="240" w:before="0" w:after="0"/>
        <w:jc w:val="both"/>
        <w:rPr>
          <w:rFonts w:ascii="Times New Roman" w:hAnsi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Премьер-министр</w:t>
      </w:r>
    </w:p>
    <w:p>
      <w:pPr>
        <w:pStyle w:val="BodyText"/>
        <w:widowControl w:val="false"/>
        <w:tabs>
          <w:tab w:val="clear" w:pos="708"/>
          <w:tab w:val="left" w:pos="0" w:leader="none"/>
        </w:tabs>
        <w:spacing w:lineRule="auto" w:line="240" w:before="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Республики Татарстан</w:t>
        <w:tab/>
        <w:tab/>
        <w:tab/>
        <w:tab/>
        <w:tab/>
        <w:tab/>
        <w:tab/>
        <w:tab/>
        <w:t xml:space="preserve">           А.В.Песошин</w:t>
      </w:r>
    </w:p>
    <w:p>
      <w:pPr>
        <w:pStyle w:val="Normal"/>
        <w:widowControl w:val="false"/>
        <w:spacing w:lineRule="auto" w:line="240" w:before="0" w:after="0"/>
        <w:ind w:left="6804"/>
        <w:jc w:val="both"/>
        <w:rPr>
          <w:rFonts w:ascii="Times New Roman" w:hAnsi="Times New Roman" w:eastAsia="Calibri" w:cs="Times New Roman"/>
          <w:color w:val="000000"/>
          <w:sz w:val="28"/>
          <w:szCs w:val="28"/>
          <w:lang w:eastAsia="ru-RU"/>
        </w:rPr>
      </w:pPr>
      <w:r>
        <w:rPr>
          <w:rFonts w:eastAsia="Calibri" w:cs="Times New Roman" w:ascii="Times New Roman" w:hAnsi="Times New Roman"/>
          <w:color w:val="000000"/>
          <w:sz w:val="28"/>
          <w:szCs w:val="28"/>
          <w:lang w:eastAsia="ru-RU"/>
        </w:rPr>
      </w:r>
    </w:p>
    <w:p>
      <w:pPr>
        <w:pStyle w:val="Normal"/>
        <w:widowControl w:val="false"/>
        <w:spacing w:lineRule="auto" w:line="240" w:before="0" w:after="0"/>
        <w:ind w:left="6804"/>
        <w:jc w:val="both"/>
        <w:rPr>
          <w:rFonts w:ascii="Times New Roman" w:hAnsi="Times New Roman" w:eastAsia="Calibri" w:cs="Times New Roman"/>
          <w:color w:val="000000"/>
          <w:sz w:val="28"/>
          <w:szCs w:val="28"/>
          <w:lang w:eastAsia="ru-RU"/>
        </w:rPr>
      </w:pPr>
      <w:r>
        <w:rPr>
          <w:rFonts w:eastAsia="Calibri" w:cs="Times New Roman" w:ascii="Times New Roman" w:hAnsi="Times New Roman"/>
          <w:color w:val="000000"/>
          <w:sz w:val="28"/>
          <w:szCs w:val="28"/>
          <w:lang w:eastAsia="ru-RU"/>
        </w:rPr>
      </w:r>
    </w:p>
    <w:p>
      <w:pPr>
        <w:sectPr>
          <w:type w:val="nextPage"/>
          <w:pgSz w:w="11906" w:h="16838"/>
          <w:pgMar w:left="1134" w:right="567" w:gutter="0" w:header="0" w:top="1134" w:footer="0" w:bottom="1134"/>
          <w:pgNumType w:fmt="decimal"/>
          <w:formProt w:val="false"/>
          <w:textDirection w:val="lrTb"/>
          <w:docGrid w:type="default" w:linePitch="360" w:charSpace="12288"/>
        </w:sectPr>
        <w:pStyle w:val="Normal"/>
        <w:widowControl w:val="false"/>
        <w:spacing w:lineRule="auto" w:line="240" w:before="0" w:after="0"/>
        <w:ind w:left="6804"/>
        <w:jc w:val="both"/>
        <w:rPr>
          <w:rFonts w:ascii="Times New Roman" w:hAnsi="Times New Roman" w:eastAsia="Calibri" w:cs="Times New Roman"/>
          <w:color w:val="000000"/>
          <w:sz w:val="28"/>
          <w:szCs w:val="28"/>
          <w:lang w:eastAsia="ru-RU"/>
        </w:rPr>
      </w:pPr>
      <w:r>
        <w:rPr>
          <w:rFonts w:eastAsia="Calibri" w:cs="Times New Roman" w:ascii="Times New Roman" w:hAnsi="Times New Roman"/>
          <w:color w:val="000000"/>
          <w:sz w:val="28"/>
          <w:szCs w:val="28"/>
          <w:lang w:eastAsia="ru-RU"/>
        </w:rPr>
      </w:r>
    </w:p>
    <w:p>
      <w:pPr>
        <w:pStyle w:val="Normal"/>
        <w:widowControl w:val="false"/>
        <w:spacing w:lineRule="auto" w:line="240" w:before="0" w:after="0"/>
        <w:ind w:left="6804"/>
        <w:jc w:val="both"/>
        <w:rPr>
          <w:rFonts w:ascii="Times New Roman" w:hAnsi="Times New Roman" w:eastAsia="Calibri" w:cs="Times New Roman"/>
          <w:color w:val="000000"/>
          <w:sz w:val="28"/>
          <w:szCs w:val="28"/>
          <w:lang w:eastAsia="ru-RU"/>
        </w:rPr>
      </w:pPr>
      <w:r>
        <w:rPr>
          <w:rFonts w:eastAsia="Calibri" w:cs="Times New Roman" w:ascii="Times New Roman" w:hAnsi="Times New Roman"/>
          <w:color w:val="000000"/>
          <w:sz w:val="28"/>
          <w:szCs w:val="28"/>
          <w:lang w:eastAsia="ru-RU"/>
        </w:rPr>
        <w:t>Утверждено</w:t>
      </w:r>
    </w:p>
    <w:p>
      <w:pPr>
        <w:pStyle w:val="Normal"/>
        <w:widowControl w:val="false"/>
        <w:spacing w:lineRule="auto" w:line="240" w:before="0" w:after="0"/>
        <w:ind w:left="6804"/>
        <w:jc w:val="both"/>
        <w:rPr>
          <w:rFonts w:ascii="Times New Roman" w:hAnsi="Times New Roman"/>
          <w:sz w:val="28"/>
          <w:szCs w:val="28"/>
        </w:rPr>
      </w:pPr>
      <w:r>
        <w:rPr>
          <w:rFonts w:eastAsia="Calibri" w:cs="Times New Roman" w:ascii="Times New Roman" w:hAnsi="Times New Roman"/>
          <w:color w:val="000000"/>
          <w:sz w:val="28"/>
          <w:szCs w:val="28"/>
          <w:lang w:eastAsia="ru-RU"/>
        </w:rPr>
        <w:t xml:space="preserve">постановлением </w:t>
      </w:r>
    </w:p>
    <w:p>
      <w:pPr>
        <w:pStyle w:val="Normal"/>
        <w:widowControl w:val="false"/>
        <w:spacing w:lineRule="auto" w:line="240" w:before="0" w:after="0"/>
        <w:ind w:left="6804"/>
        <w:jc w:val="both"/>
        <w:rPr>
          <w:rFonts w:ascii="Times New Roman" w:hAnsi="Times New Roman"/>
          <w:sz w:val="28"/>
          <w:szCs w:val="28"/>
        </w:rPr>
      </w:pPr>
      <w:r>
        <w:rPr>
          <w:rFonts w:eastAsia="Calibri" w:cs="Times New Roman" w:ascii="Times New Roman" w:hAnsi="Times New Roman"/>
          <w:color w:val="000000"/>
          <w:sz w:val="28"/>
          <w:szCs w:val="28"/>
          <w:lang w:eastAsia="ru-RU"/>
        </w:rPr>
        <w:t xml:space="preserve">Кабинета Министров </w:t>
      </w:r>
    </w:p>
    <w:p>
      <w:pPr>
        <w:pStyle w:val="Normal"/>
        <w:widowControl w:val="false"/>
        <w:spacing w:lineRule="auto" w:line="240" w:before="0" w:after="0"/>
        <w:ind w:left="6804"/>
        <w:jc w:val="both"/>
        <w:rPr>
          <w:rFonts w:ascii="Times New Roman" w:hAnsi="Times New Roman"/>
          <w:sz w:val="28"/>
          <w:szCs w:val="28"/>
        </w:rPr>
      </w:pPr>
      <w:r>
        <w:rPr>
          <w:rFonts w:eastAsia="Calibri" w:cs="Times New Roman" w:ascii="Times New Roman" w:hAnsi="Times New Roman"/>
          <w:color w:val="000000"/>
          <w:sz w:val="28"/>
          <w:szCs w:val="28"/>
          <w:lang w:eastAsia="ru-RU"/>
        </w:rPr>
        <w:t xml:space="preserve">Республики Татарстан </w:t>
      </w:r>
    </w:p>
    <w:p>
      <w:pPr>
        <w:pStyle w:val="Normal"/>
        <w:widowControl w:val="false"/>
        <w:spacing w:lineRule="auto" w:line="240" w:before="0" w:after="0"/>
        <w:ind w:left="6804"/>
        <w:jc w:val="both"/>
        <w:rPr>
          <w:rFonts w:ascii="Times New Roman" w:hAnsi="Times New Roman"/>
          <w:sz w:val="28"/>
          <w:szCs w:val="28"/>
        </w:rPr>
      </w:pPr>
      <w:r>
        <w:rPr>
          <w:rFonts w:eastAsia="Calibri" w:cs="Times New Roman" w:ascii="Times New Roman" w:hAnsi="Times New Roman"/>
          <w:color w:val="000000"/>
          <w:sz w:val="28"/>
          <w:szCs w:val="28"/>
          <w:lang w:eastAsia="ru-RU"/>
        </w:rPr>
        <w:t>от ______ 2026 № _______</w:t>
      </w:r>
    </w:p>
    <w:p>
      <w:pPr>
        <w:pStyle w:val="Normal"/>
        <w:widowControl w:val="false"/>
        <w:spacing w:lineRule="auto" w:line="240" w:before="0" w:after="0"/>
        <w:ind w:left="6379"/>
        <w:jc w:val="both"/>
        <w:rPr>
          <w:rFonts w:ascii="Times New Roman" w:hAnsi="Times New Roman" w:eastAsia="Calibri" w:cs="Times New Roman"/>
          <w:color w:val="000000"/>
          <w:sz w:val="28"/>
          <w:szCs w:val="28"/>
          <w:lang w:eastAsia="ru-RU"/>
        </w:rPr>
      </w:pPr>
      <w:r>
        <w:rPr>
          <w:rFonts w:eastAsia="Calibri" w:cs="Times New Roman" w:ascii="Times New Roman" w:hAnsi="Times New Roman"/>
          <w:color w:val="000000"/>
          <w:sz w:val="28"/>
          <w:szCs w:val="28"/>
          <w:lang w:eastAsia="ru-RU"/>
        </w:rPr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/>
          <w:sz w:val="28"/>
          <w:szCs w:val="28"/>
        </w:rPr>
      </w:pPr>
      <w:r>
        <w:rPr>
          <w:rFonts w:eastAsia="Calibri" w:cs="Times New Roman" w:ascii="Times New Roman" w:hAnsi="Times New Roman"/>
          <w:color w:val="000000"/>
          <w:sz w:val="28"/>
          <w:szCs w:val="28"/>
          <w:lang w:eastAsia="ru-RU"/>
        </w:rPr>
        <w:t xml:space="preserve">Порядок </w:t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 w:eastAsia="Calibri" w:cs="Times New Roman"/>
          <w:color w:val="000000"/>
          <w:sz w:val="28"/>
          <w:szCs w:val="28"/>
          <w:lang w:eastAsia="ru-RU"/>
        </w:rPr>
      </w:pPr>
      <w:r>
        <w:rPr>
          <w:rFonts w:eastAsia="Calibri" w:cs="Times New Roman" w:ascii="Times New Roman" w:hAnsi="Times New Roman"/>
          <w:color w:val="000000"/>
          <w:sz w:val="28"/>
          <w:szCs w:val="28"/>
          <w:lang w:eastAsia="ru-RU"/>
        </w:rPr>
        <w:t xml:space="preserve">предоставления методистам, старшим методистам, руководителям </w:t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 w:eastAsia="Calibri" w:cs="Times New Roman"/>
          <w:color w:val="000000"/>
          <w:sz w:val="28"/>
          <w:szCs w:val="28"/>
          <w:lang w:eastAsia="ru-RU"/>
        </w:rPr>
      </w:pPr>
      <w:r>
        <w:rPr>
          <w:rFonts w:eastAsia="Calibri" w:cs="Times New Roman" w:ascii="Times New Roman" w:hAnsi="Times New Roman"/>
          <w:color w:val="000000"/>
          <w:sz w:val="28"/>
          <w:szCs w:val="28"/>
          <w:lang w:eastAsia="ru-RU"/>
        </w:rPr>
        <w:t xml:space="preserve">информационно-методических отделов управлений (отделов) образования муниципальных образований Республики Татарстан денежного поощрения </w:t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 w:eastAsia="Calibri" w:cs="Times New Roman"/>
          <w:color w:val="000000"/>
          <w:sz w:val="28"/>
          <w:szCs w:val="28"/>
          <w:lang w:eastAsia="ru-RU"/>
        </w:rPr>
      </w:pPr>
      <w:r>
        <w:rPr>
          <w:rFonts w:eastAsia="Calibri" w:cs="Times New Roman" w:ascii="Times New Roman" w:hAnsi="Times New Roman"/>
          <w:color w:val="000000"/>
          <w:sz w:val="28"/>
          <w:szCs w:val="28"/>
          <w:lang w:eastAsia="ru-RU"/>
        </w:rPr>
        <w:t>«Наш лучший методист»</w:t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 w:eastAsia="Calibri" w:cs="Times New Roman"/>
          <w:color w:val="000000"/>
          <w:sz w:val="28"/>
          <w:szCs w:val="28"/>
          <w:lang w:eastAsia="ru-RU"/>
        </w:rPr>
      </w:pPr>
      <w:r>
        <w:rPr>
          <w:rFonts w:eastAsia="Calibri" w:cs="Times New Roman" w:ascii="Times New Roman" w:hAnsi="Times New Roman"/>
          <w:color w:val="000000"/>
          <w:sz w:val="28"/>
          <w:szCs w:val="28"/>
          <w:lang w:eastAsia="ru-RU"/>
        </w:rPr>
      </w:r>
    </w:p>
    <w:p>
      <w:pPr>
        <w:pStyle w:val="Normal"/>
        <w:widowControl w:val="false"/>
        <w:spacing w:lineRule="auto" w:line="240" w:before="0" w:after="0"/>
        <w:jc w:val="center"/>
        <w:rPr>
          <w:rFonts w:ascii="Times New Roman" w:hAnsi="Times New Roman" w:eastAsia="Calibri" w:cs="Times New Roman"/>
          <w:color w:val="000000"/>
          <w:sz w:val="28"/>
          <w:szCs w:val="28"/>
          <w:lang w:eastAsia="ru-RU"/>
        </w:rPr>
      </w:pPr>
      <w:r>
        <w:rPr>
          <w:rFonts w:eastAsia="Calibri" w:cs="Times New Roman" w:ascii="Times New Roman" w:hAnsi="Times New Roman"/>
          <w:color w:val="000000"/>
          <w:sz w:val="28"/>
          <w:szCs w:val="28"/>
          <w:lang w:eastAsia="ru-RU"/>
        </w:rPr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Times New Roman" w:hAnsi="Times New Roman"/>
          <w:sz w:val="28"/>
          <w:szCs w:val="28"/>
        </w:rPr>
      </w:pPr>
      <w:bookmarkStart w:id="0" w:name="sub_701"/>
      <w:bookmarkEnd w:id="0"/>
      <w:r>
        <w:rPr>
          <w:rFonts w:eastAsia="Calibri" w:cs="Times New Roman" w:ascii="Times New Roman" w:hAnsi="Times New Roman"/>
          <w:color w:val="000000"/>
          <w:sz w:val="28"/>
          <w:szCs w:val="28"/>
          <w:lang w:eastAsia="ru-RU"/>
        </w:rPr>
        <w:t>1. Настоящий Порядок определяет цель, механизм и условия предоставления методистам, старшим методистам, руководителям информационно-методических отделов управлений (отделов) образования муниципальных образований Республики Татарстан денежного поощрения «Наш лучший методист» (далее – денежное поощрение) из бюджета Республики Татарстан на конкурсной основе.</w:t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eastAsia="Calibri" w:cs="Times New Roman" w:ascii="Times New Roman" w:hAnsi="Times New Roman"/>
          <w:color w:val="000000"/>
          <w:sz w:val="28"/>
          <w:szCs w:val="28"/>
          <w:lang w:eastAsia="ru-RU"/>
        </w:rPr>
        <w:t>2</w:t>
      </w:r>
      <w:bookmarkStart w:id="1" w:name="sub_703_Копия_1"/>
      <w:r>
        <w:rPr>
          <w:rFonts w:eastAsia="Calibri" w:cs="Times New Roman" w:ascii="Times New Roman" w:hAnsi="Times New Roman"/>
          <w:color w:val="000000"/>
          <w:sz w:val="28"/>
          <w:szCs w:val="28"/>
          <w:lang w:eastAsia="ru-RU"/>
        </w:rPr>
        <w:t>. В настоящем Порядке используются следующие термины:</w:t>
      </w:r>
      <w:bookmarkEnd w:id="1"/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eastAsia="Calibri" w:cs="Times New Roman" w:ascii="Times New Roman" w:hAnsi="Times New Roman"/>
          <w:bCs/>
          <w:color w:val="000000"/>
          <w:sz w:val="28"/>
          <w:szCs w:val="28"/>
          <w:lang w:eastAsia="ru-RU"/>
        </w:rPr>
        <w:t>соискатели денежного поощрения</w:t>
      </w:r>
      <w:r>
        <w:rPr>
          <w:rFonts w:eastAsia="Calibri" w:cs="Times New Roman" w:ascii="Times New Roman" w:hAnsi="Times New Roman"/>
          <w:color w:val="000000"/>
          <w:sz w:val="28"/>
          <w:szCs w:val="28"/>
          <w:lang w:eastAsia="ru-RU"/>
        </w:rPr>
        <w:t xml:space="preserve"> – методисты, старшие методисты, руководители информационно-методических отделов управлений (отделов) образования муниципальных образований Республики Татарстан, осуществляющие переданные в соответствии с Законом Республики Татарстан от 22 февраля 2006 года №15-ЗРТ «О наделении органов местного самоуправления муниципальных образований в Республике Татарстан отдельными государственными полномочиями Республики Татарстан в области  образования» государственные полномочия по методическому и информационно-технологическому обеспечению образовательной деятельности, имеющие стаж практической работы по специальности не менее трех лет, занимающие  по основному месту работы основную должность «методист», являющиеся гражданами Российской Федерации и проживающие на территории Республики Татарстан (далее – методисты, старшие методисты, руководители информационно-методических отделов управлений (отделов) образования муниципальных образований Республики Татарстан);</w:t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eastAsia="Calibri" w:cs="Times New Roman" w:ascii="Times New Roman" w:hAnsi="Times New Roman"/>
          <w:bCs/>
          <w:color w:val="000000"/>
          <w:sz w:val="28"/>
          <w:szCs w:val="28"/>
          <w:lang w:eastAsia="ru-RU"/>
        </w:rPr>
        <w:t xml:space="preserve">работодатель </w:t>
      </w:r>
      <w:r>
        <w:rPr>
          <w:rFonts w:eastAsia="Calibri" w:cs="Times New Roman" w:ascii="Times New Roman" w:hAnsi="Times New Roman"/>
          <w:color w:val="000000"/>
          <w:sz w:val="28"/>
          <w:szCs w:val="28"/>
          <w:lang w:eastAsia="ru-RU"/>
        </w:rPr>
        <w:t>– информационно-методический отдел управления (отдела) образования муниципальных образований Республики Татарстан, работником которой по заключенному трудовому договору является соискатель денежного поощрения;</w:t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получатель денежного поощрения</w:t>
      </w:r>
      <w:r>
        <w:rPr>
          <w:rFonts w:ascii="Times New Roman" w:hAnsi="Times New Roman"/>
          <w:sz w:val="28"/>
          <w:szCs w:val="28"/>
        </w:rPr>
        <w:t xml:space="preserve"> – соискатель денежного поощрения, признанный победителем по итогам конкурсного отбора на соискание денежного поощрения (далее – отбор);</w:t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индивидуальный проект – самостоятельная методическая разработка, подготовленная соискателем денежного поощрения, предусматривающая внедрение инновационных методов и технологий методической работы, направленных на развитие методической службы управлений (отделов) образования муниципальных образований Республики Татарстан. </w:t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Times New Roman" w:hAnsi="Times New Roman" w:eastAsia="Calibri" w:cs="Times New Roman"/>
          <w:color w:val="000000"/>
          <w:sz w:val="28"/>
          <w:szCs w:val="28"/>
          <w:lang w:eastAsia="ru-RU"/>
        </w:rPr>
      </w:pPr>
      <w:bookmarkStart w:id="2" w:name="sub_705"/>
      <w:r>
        <w:rPr>
          <w:rFonts w:eastAsia="Calibri" w:cs="Times New Roman" w:ascii="Times New Roman" w:hAnsi="Times New Roman"/>
          <w:color w:val="000000"/>
          <w:sz w:val="28"/>
          <w:szCs w:val="28"/>
          <w:lang w:eastAsia="ru-RU"/>
        </w:rPr>
        <w:t>3. Целью предоставления денежного поощрения явля</w:t>
      </w:r>
      <w:bookmarkEnd w:id="2"/>
      <w:r>
        <w:rPr>
          <w:rFonts w:eastAsia="Calibri" w:cs="Times New Roman" w:ascii="Times New Roman" w:hAnsi="Times New Roman"/>
          <w:color w:val="000000"/>
          <w:sz w:val="28"/>
          <w:szCs w:val="28"/>
          <w:lang w:eastAsia="ru-RU"/>
        </w:rPr>
        <w:t>ется поддержка и поощрение методистов, старших методистов, руководителей информационно-методических отделов управлений (отделов) образования муниципальных образований Республики Татарстан за успешные результаты в методической работе</w:t>
      </w:r>
      <w:r>
        <w:rPr>
          <w:rFonts w:ascii="Times New Roman" w:hAnsi="Times New Roman"/>
          <w:sz w:val="28"/>
          <w:szCs w:val="28"/>
        </w:rPr>
        <w:t>.</w:t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eastAsia="Calibri" w:cs="Times New Roman" w:ascii="Times New Roman" w:hAnsi="Times New Roman"/>
          <w:color w:val="000000"/>
          <w:sz w:val="28"/>
          <w:szCs w:val="28"/>
          <w:lang w:eastAsia="ru-RU"/>
        </w:rPr>
        <w:t>4. Предоставление денежного поощрения осуществляется в пределах бюджетных ассигнований, предусмотренных в законе Республики Татарстан о бюджете Республики Татарстан на соответствующий финансовый год и на плановый период, и лимитов бюджетных обязательств, доведенных в установленном порядке до главного распорядителя бюджетных средств – Министерству образования и науки Республики Татарстан (далее – Министерство) на цель, установленную пунктом 5 настоящего Порядка.</w:t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Times New Roman" w:hAnsi="Times New Roman" w:eastAsia="Calibri" w:cs="Times New Roman"/>
          <w:color w:val="000000"/>
          <w:sz w:val="28"/>
          <w:szCs w:val="28"/>
          <w:lang w:eastAsia="ru-RU"/>
        </w:rPr>
      </w:pPr>
      <w:r>
        <w:rPr>
          <w:rFonts w:eastAsia="Calibri" w:cs="Times New Roman" w:ascii="Times New Roman" w:hAnsi="Times New Roman"/>
          <w:sz w:val="28"/>
          <w:szCs w:val="28"/>
          <w:lang w:eastAsia="ru-RU"/>
        </w:rPr>
        <w:t xml:space="preserve">5. </w:t>
      </w:r>
      <w:r>
        <w:rPr>
          <w:rFonts w:eastAsia="Calibri" w:cs="Times New Roman" w:ascii="Times New Roman" w:hAnsi="Times New Roman"/>
          <w:color w:val="000000"/>
          <w:sz w:val="28"/>
          <w:szCs w:val="28"/>
          <w:lang w:eastAsia="ru-RU"/>
        </w:rPr>
        <w:t>Ежегодно денежное поощрение предоставляется не более чем 305 получателям денежного поощрения. Денежное поощрение перечисляется единовременно в размере 172 414 рублей (с учетом налога на доходы физических лиц) на счет получателя денежного поощрения, открытый в российской кредитной организации.</w:t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Times New Roman" w:hAnsi="Times New Roman"/>
          <w:sz w:val="28"/>
          <w:szCs w:val="28"/>
        </w:rPr>
      </w:pPr>
      <w:bookmarkStart w:id="3" w:name="sub_706"/>
      <w:r>
        <w:rPr>
          <w:rFonts w:eastAsia="Calibri" w:cs="Times New Roman" w:ascii="Times New Roman" w:hAnsi="Times New Roman"/>
          <w:color w:val="000000"/>
          <w:sz w:val="28"/>
          <w:szCs w:val="28"/>
          <w:lang w:eastAsia="ru-RU"/>
        </w:rPr>
        <w:t>6. Условиями предоставления денежного поощрения являются:</w:t>
      </w:r>
      <w:bookmarkEnd w:id="3"/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eastAsia="Calibri" w:cs="Times New Roman" w:ascii="Times New Roman" w:hAnsi="Times New Roman"/>
          <w:color w:val="000000"/>
          <w:sz w:val="28"/>
          <w:szCs w:val="28"/>
          <w:lang w:eastAsia="ru-RU"/>
        </w:rPr>
        <w:t>победа в организуемом Министерством отборе;</w:t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eastAsia="Calibri" w:cs="Times New Roman" w:ascii="Times New Roman" w:hAnsi="Times New Roman"/>
          <w:color w:val="000000"/>
          <w:sz w:val="28"/>
          <w:szCs w:val="28"/>
          <w:lang w:eastAsia="ru-RU"/>
        </w:rPr>
        <w:t>осуществление трудовой деятельности у работодателя в объеме не менее одной тарифной ставки по основному месту работы;</w:t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eastAsia="Calibri" w:cs="Times New Roman" w:ascii="Times New Roman" w:hAnsi="Times New Roman"/>
          <w:color w:val="000000"/>
          <w:sz w:val="28"/>
          <w:szCs w:val="28"/>
          <w:lang w:eastAsia="ru-RU"/>
        </w:rPr>
        <w:t>наличие индивидуального проекта;</w:t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Times New Roman" w:hAnsi="Times New Roman" w:eastAsia="Calibri" w:cs="Times New Roman"/>
          <w:color w:val="000000"/>
          <w:sz w:val="28"/>
          <w:szCs w:val="28"/>
          <w:lang w:eastAsia="ru-RU"/>
        </w:rPr>
      </w:pPr>
      <w:r>
        <w:rPr>
          <w:rFonts w:eastAsia="Calibri" w:cs="Times New Roman" w:ascii="Times New Roman" w:hAnsi="Times New Roman"/>
          <w:color w:val="000000"/>
          <w:sz w:val="28"/>
          <w:szCs w:val="28"/>
          <w:lang w:eastAsia="ru-RU"/>
        </w:rPr>
        <w:t xml:space="preserve">соискатель денежного поощрения ранее являлся получателем </w:t>
      </w:r>
      <w:r>
        <w:rPr>
          <w:rFonts w:eastAsia="Times New Roman" w:cs="Times New Roman" w:ascii="Times New Roman" w:hAnsi="Times New Roman"/>
          <w:sz w:val="28"/>
          <w:szCs w:val="28"/>
        </w:rPr>
        <w:t>денежного поощрения</w:t>
      </w:r>
      <w:r>
        <w:rPr>
          <w:rFonts w:eastAsia="Calibri" w:cs="Times New Roman" w:ascii="Times New Roman" w:hAnsi="Times New Roman"/>
          <w:color w:val="000000"/>
          <w:sz w:val="28"/>
          <w:szCs w:val="28"/>
          <w:lang w:eastAsia="ru-RU"/>
        </w:rPr>
        <w:t xml:space="preserve"> «Наш лучший методист» не более двух раз. </w:t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eastAsia="Calibri" w:cs="Times New Roman" w:ascii="Times New Roman" w:hAnsi="Times New Roman"/>
          <w:color w:val="000000"/>
          <w:sz w:val="28"/>
          <w:szCs w:val="28"/>
          <w:lang w:eastAsia="ru-RU"/>
        </w:rPr>
        <w:t xml:space="preserve">7. </w:t>
      </w:r>
      <w:r>
        <w:rPr>
          <w:rFonts w:ascii="Times New Roman" w:hAnsi="Times New Roman"/>
          <w:sz w:val="28"/>
          <w:szCs w:val="28"/>
        </w:rPr>
        <w:t>Соискатель денежного поощрения по состоянию на дату рассмотрения заявки должен соответствовать следующим требованиям:</w:t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eastAsia="Calibri" w:cs="Times New Roman" w:ascii="Times New Roman" w:hAnsi="Times New Roman"/>
          <w:color w:val="000000"/>
          <w:sz w:val="28"/>
          <w:szCs w:val="28"/>
          <w:lang w:eastAsia="ru-RU"/>
        </w:rPr>
        <w:t>у соискателя денежного поощрения отсутствует неисполненная обязанность по уплате налогов, сборов, страховых взносов, пеней, штрафов и процентов, подлежащих уплате в соответствии с законодательством Российской Федерации о налогах и сборах;</w:t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eastAsia="Calibri" w:cs="Times New Roman" w:ascii="Times New Roman" w:hAnsi="Times New Roman"/>
          <w:color w:val="000000"/>
          <w:sz w:val="28"/>
          <w:szCs w:val="28"/>
          <w:lang w:eastAsia="ru-RU"/>
        </w:rPr>
        <w:t xml:space="preserve">у соискателя денежного поощрения </w:t>
      </w:r>
      <w:r>
        <w:rPr>
          <w:rFonts w:ascii="Times New Roman" w:hAnsi="Times New Roman"/>
          <w:sz w:val="28"/>
          <w:szCs w:val="28"/>
        </w:rPr>
        <w:t>отсутствует подтвержденная вступившим в законную силу судебным актом непогашенная задолженность по оплате жилых помещений и коммунальных услуг по состоянию не ранее чем на первое число месяца, предшествующего дате подачи заявления;</w:t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соискатель денежного поощрения не находится в составляемых в рамках реализации полномочий, предусмотренных главой VII Устава ООН, Советом Безопасности ООН или органами, специально созданными решениями Совета Безопасности ООН, перечнях организаций и физических лиц, связанных с террористическими организациями и террористами или с распространением оружия массового уничтожения;</w:t>
      </w:r>
    </w:p>
    <w:p>
      <w:pPr>
        <w:pStyle w:val="ListParagraph"/>
        <w:widowControl w:val="false"/>
        <w:spacing w:lineRule="auto" w:line="240" w:before="0" w:after="0"/>
        <w:ind w:firstLine="709" w:left="0"/>
        <w:contextualSpacing w:val="false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соискатель денежного поощрения не находится в перечне физических лиц, в отношении которых имеются сведения об их причастности к экстремистской деятельности или терроризму;</w:t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/>
      </w:pPr>
      <w:r>
        <w:rPr>
          <w:rFonts w:eastAsia="Calibri" w:cs="Times New Roman" w:ascii="Times New Roman" w:hAnsi="Times New Roman"/>
          <w:color w:val="000000"/>
          <w:sz w:val="28"/>
          <w:szCs w:val="28"/>
          <w:lang w:eastAsia="ru-RU"/>
        </w:rPr>
        <w:t xml:space="preserve">соискатель денежного поощрения не является иностранным агентом в соответствии с </w:t>
      </w:r>
      <w:r>
        <w:fldChar w:fldCharType="begin"/>
      </w:r>
      <w:r>
        <w:rPr>
          <w:rStyle w:val="Style8"/>
          <w:sz w:val="28"/>
          <w:szCs w:val="28"/>
          <w:rFonts w:eastAsia="Calibri" w:cs="Times New Roman" w:ascii="Times New Roman" w:hAnsi="Times New Roman"/>
          <w:lang w:eastAsia="ru-RU"/>
        </w:rPr>
        <w:instrText xml:space="preserve"> HYPERLINK "https://internet.garant.ru/" \l "/document/404991865/entry/0"</w:instrText>
      </w:r>
      <w:r>
        <w:rPr>
          <w:rStyle w:val="Style8"/>
          <w:sz w:val="28"/>
          <w:szCs w:val="28"/>
          <w:rFonts w:eastAsia="Calibri" w:cs="Times New Roman" w:ascii="Times New Roman" w:hAnsi="Times New Roman"/>
          <w:lang w:eastAsia="ru-RU"/>
        </w:rPr>
        <w:fldChar w:fldCharType="separate"/>
      </w:r>
      <w:r>
        <w:rPr>
          <w:rStyle w:val="Style8"/>
          <w:rFonts w:eastAsia="Calibri" w:cs="Times New Roman" w:ascii="Times New Roman" w:hAnsi="Times New Roman"/>
          <w:sz w:val="28"/>
          <w:szCs w:val="28"/>
          <w:lang w:eastAsia="ru-RU"/>
        </w:rPr>
        <w:t>Федеральным законом</w:t>
      </w:r>
      <w:r>
        <w:rPr>
          <w:rStyle w:val="Style8"/>
          <w:sz w:val="28"/>
          <w:szCs w:val="28"/>
          <w:rFonts w:eastAsia="Calibri" w:cs="Times New Roman" w:ascii="Times New Roman" w:hAnsi="Times New Roman"/>
          <w:lang w:eastAsia="ru-RU"/>
        </w:rPr>
        <w:fldChar w:fldCharType="end"/>
      </w:r>
      <w:r>
        <w:rPr>
          <w:rFonts w:eastAsia="Calibri" w:cs="Times New Roman" w:ascii="Times New Roman" w:hAnsi="Times New Roman"/>
          <w:color w:val="000000"/>
          <w:sz w:val="28"/>
          <w:szCs w:val="28"/>
          <w:lang w:eastAsia="ru-RU"/>
        </w:rPr>
        <w:t xml:space="preserve"> от 14 июля 2022 года № 255-ФЗ «О контроле за деятельностью лиц, находящихся под иностранным влиянием»;</w:t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Times New Roman" w:hAnsi="Times New Roman" w:eastAsia="Calibri" w:cs="Times New Roman"/>
          <w:color w:val="000000"/>
          <w:sz w:val="28"/>
          <w:szCs w:val="28"/>
          <w:lang w:eastAsia="ru-RU"/>
        </w:rPr>
      </w:pPr>
      <w:r>
        <w:rPr>
          <w:rFonts w:eastAsia="Calibri" w:cs="Times New Roman" w:ascii="Times New Roman" w:hAnsi="Times New Roman"/>
          <w:color w:val="000000"/>
          <w:sz w:val="28"/>
          <w:szCs w:val="28"/>
          <w:lang w:eastAsia="ru-RU"/>
        </w:rPr>
        <w:t>соискатель денежного поощрения не получает средства из бюджета Республики Татарстан на основании иных нормативных правовых актов Республики Татарстан на цель, установленную пунктом 3 настоящего Порядка.</w:t>
      </w:r>
    </w:p>
    <w:p>
      <w:pPr>
        <w:pStyle w:val="BodyText"/>
        <w:widowControl w:val="false"/>
        <w:spacing w:lineRule="auto" w:line="240" w:before="0" w:after="0"/>
        <w:ind w:firstLine="709"/>
        <w:jc w:val="both"/>
        <w:rPr>
          <w:rStyle w:val="Style13"/>
          <w:rFonts w:ascii="Times New Roman" w:hAnsi="Times New Roman"/>
          <w:sz w:val="28"/>
          <w:szCs w:val="28"/>
        </w:rPr>
      </w:pPr>
      <w:r>
        <w:rPr>
          <w:rStyle w:val="Style13"/>
          <w:rFonts w:ascii="Times New Roman" w:hAnsi="Times New Roman"/>
          <w:sz w:val="28"/>
          <w:szCs w:val="28"/>
        </w:rPr>
        <w:t>8. Организация работы по предоставлению денежного поощрения осуществляется Министерством и включает в себя утверждение положения о конкурсной комиссии по проведению отбора (далее соответственно – комиссия, отбор) и состава комиссии, определение сроков проведения отбора в текущем году и проведение отбора.</w:t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Times New Roman" w:hAnsi="Times New Roman" w:eastAsia="Calibri" w:cs="Times New Roman"/>
          <w:color w:val="000000"/>
          <w:sz w:val="28"/>
          <w:szCs w:val="28"/>
          <w:lang w:eastAsia="ru-RU"/>
        </w:rPr>
      </w:pPr>
      <w:r>
        <w:rPr>
          <w:rFonts w:eastAsia="Calibri" w:cs="Times New Roman" w:ascii="Times New Roman" w:hAnsi="Times New Roman"/>
          <w:color w:val="000000"/>
          <w:sz w:val="28"/>
          <w:szCs w:val="28"/>
          <w:lang w:eastAsia="ru-RU"/>
        </w:rPr>
        <w:t>Для приема и регистрации заявок Министерство определяет оператора из числа организаций, функции и полномочия учредителя в отношении которых осуществляет Министерство (далее – оператор).</w:t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eastAsia="Calibri" w:cs="Times New Roman" w:ascii="Times New Roman" w:hAnsi="Times New Roman"/>
          <w:color w:val="000000"/>
          <w:sz w:val="28"/>
          <w:szCs w:val="28"/>
          <w:lang w:eastAsia="ru-RU"/>
        </w:rPr>
        <w:t>9. Сроки приема заявок, порядок и сроки проведения отбора, состав комиссии, критерии отбора, форма согласия на обработку персональных данных соискателя денежного поощрения утверждаются приказом Министерства (далее – приказ об отборе).</w:t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eastAsia="Calibri" w:cs="Times New Roman" w:ascii="Times New Roman" w:hAnsi="Times New Roman"/>
          <w:color w:val="000000"/>
          <w:sz w:val="28"/>
          <w:szCs w:val="28"/>
          <w:lang w:eastAsia="ru-RU"/>
        </w:rPr>
        <w:t>10. Министерство обеспечивает публикацию на официальном сайте Министерства в информационно-телекоммуникационной сети «Интернет» (далее – официальный сайт):</w:t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eastAsia="Calibri" w:cs="Times New Roman" w:ascii="Times New Roman" w:hAnsi="Times New Roman"/>
          <w:color w:val="000000"/>
          <w:sz w:val="28"/>
          <w:szCs w:val="28"/>
          <w:lang w:eastAsia="ru-RU"/>
        </w:rPr>
        <w:t>объявления о проведении отбора, которое должно содержать даты начала и окончания срока подачи заявок, сведения об операторе, форму заявки с перечнем документов, представляемых в составе заявки, адрес и способ подачи заявок, а также ссылку на приказ об отборе, по адресу которой он размещен на официальном сайте, не позднее чем за три рабочих дня до даты начала приема заявок;</w:t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eastAsia="Calibri" w:cs="Times New Roman" w:ascii="Times New Roman" w:hAnsi="Times New Roman"/>
          <w:color w:val="000000"/>
          <w:sz w:val="28"/>
          <w:szCs w:val="28"/>
          <w:lang w:eastAsia="ru-RU"/>
        </w:rPr>
        <w:t>приказа об отборе не позднее 10 календарных дней до даты начала приема         заявок;</w:t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eastAsia="Calibri" w:cs="Times New Roman" w:ascii="Times New Roman" w:hAnsi="Times New Roman"/>
          <w:color w:val="000000"/>
          <w:sz w:val="28"/>
          <w:szCs w:val="28"/>
          <w:lang w:eastAsia="ru-RU"/>
        </w:rPr>
        <w:t>информации об операторе, осуществляющем прием и регистрацию заявок, сведений о его местонахождении, адресе электронной почты, номере контактного телефона представителя оператора;</w:t>
      </w:r>
    </w:p>
    <w:p>
      <w:pPr>
        <w:pStyle w:val="Normal"/>
        <w:suppressAutoHyphens w:val="false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приказа Министерства о предоставлении либо об отказе в предоставлении денежного поощрения, принимаемого на основании протокола комиссии по отбору соискателей денежного поощрения (далее – протокол комиссии), в течение трех рабочих дней с даты его издания.</w:t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Times New Roman" w:hAnsi="Times New Roman" w:eastAsia="Calibri" w:cs="Times New Roman"/>
          <w:color w:val="000000"/>
          <w:spacing w:val="-2"/>
          <w:sz w:val="28"/>
          <w:szCs w:val="28"/>
          <w:lang w:eastAsia="ru-RU"/>
        </w:rPr>
      </w:pPr>
      <w:r>
        <w:rPr>
          <w:rFonts w:eastAsia="Calibri" w:cs="Times New Roman" w:ascii="Times New Roman" w:hAnsi="Times New Roman"/>
          <w:color w:val="000000"/>
          <w:sz w:val="28"/>
          <w:szCs w:val="28"/>
          <w:lang w:eastAsia="ru-RU"/>
        </w:rPr>
        <w:t>11. Отбор осуществляется комиссией</w:t>
      </w:r>
      <w:r>
        <w:rPr>
          <w:rFonts w:eastAsia="Calibri" w:cs="Times New Roman" w:ascii="Times New Roman" w:hAnsi="Times New Roman"/>
          <w:color w:val="000000"/>
          <w:spacing w:val="-2"/>
          <w:sz w:val="28"/>
          <w:szCs w:val="28"/>
          <w:lang w:eastAsia="ru-RU"/>
        </w:rPr>
        <w:t>. Комиссия формируется в составе не менее пяти членов из числа представителей органов государственной власти Республики Татарстан, представителя оператора, специалистов в сфере общего образования, ученых в сфере педагогики, представителей общественности. Количество представителей органов государственной власти Республики Татарстан не должно превышать половины общего состава членов комиссии. При формировании комиссии определяются председатель, заместитель председателя и секретарь комиссии. При отсутствии председателя комиссии его функции исполняет заместитель председателя комиссии.</w:t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eastAsia="Calibri" w:cs="Times New Roman" w:ascii="Times New Roman" w:hAnsi="Times New Roman"/>
          <w:color w:val="000000"/>
          <w:spacing w:val="-2"/>
          <w:sz w:val="28"/>
          <w:szCs w:val="28"/>
          <w:lang w:eastAsia="ru-RU"/>
        </w:rPr>
        <w:t>Секретарем комиссии является представитель оператора.</w:t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Times New Roman" w:hAnsi="Times New Roman"/>
          <w:sz w:val="28"/>
          <w:szCs w:val="28"/>
        </w:rPr>
      </w:pPr>
      <w:bookmarkStart w:id="4" w:name="sub_707"/>
      <w:r>
        <w:rPr>
          <w:rFonts w:eastAsia="Calibri" w:cs="Times New Roman" w:ascii="Times New Roman" w:hAnsi="Times New Roman"/>
          <w:color w:val="000000"/>
          <w:sz w:val="28"/>
          <w:szCs w:val="28"/>
          <w:lang w:eastAsia="ru-RU"/>
        </w:rPr>
        <w:t>Заседание комиссии считается правомочным, если на нем присутствует более половины от общего количества ее членов. Решение комиссии считается принятым при условии, что за него проголосовало большинство участвовавших в голосовании членов комиссии и при этом в заседании участвовало не менее 50 процентов от общего числа членов комиссии, включая председателя или при его отсутствии заместителя председателя.</w:t>
      </w:r>
      <w:bookmarkEnd w:id="4"/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eastAsia="Calibri" w:cs="Times New Roman" w:ascii="Times New Roman" w:hAnsi="Times New Roman"/>
          <w:color w:val="000000"/>
          <w:sz w:val="28"/>
          <w:szCs w:val="28"/>
          <w:lang w:eastAsia="ru-RU"/>
        </w:rPr>
        <w:t>При равенстве голосов голос председателя комиссии, а в его отсутствие заместителя председателя комиссии, является решающим. Решение комиссии оформляется протоколом, который подписывается председателем, заместителем председателя и секретарем комиссии. Секретарем конкурсной комиссии является представитель оператора.</w:t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Times New Roman" w:hAnsi="Times New Roman" w:eastAsia="Calibri" w:cs="Times New Roman"/>
          <w:color w:val="000000"/>
          <w:sz w:val="28"/>
          <w:szCs w:val="28"/>
          <w:lang w:eastAsia="ru-RU"/>
        </w:rPr>
      </w:pPr>
      <w:r>
        <w:rPr>
          <w:rFonts w:eastAsia="Calibri" w:cs="Times New Roman" w:ascii="Times New Roman" w:hAnsi="Times New Roman"/>
          <w:color w:val="000000"/>
          <w:sz w:val="28"/>
          <w:szCs w:val="28"/>
          <w:lang w:eastAsia="ru-RU"/>
        </w:rPr>
        <w:t>Решение комиссии оформляется протоколом комиссии, который подписывается председателем, заместителем председателя и секретарем комиссии</w:t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Times New Roman" w:hAnsi="Times New Roman" w:eastAsia="Calibri" w:cs="Times New Roman"/>
          <w:color w:val="000000"/>
          <w:sz w:val="28"/>
          <w:szCs w:val="28"/>
          <w:lang w:eastAsia="ru-RU"/>
        </w:rPr>
      </w:pPr>
      <w:r>
        <w:rPr>
          <w:rFonts w:eastAsia="Calibri" w:cs="Times New Roman" w:ascii="Times New Roman" w:hAnsi="Times New Roman"/>
          <w:color w:val="000000"/>
          <w:sz w:val="28"/>
          <w:szCs w:val="28"/>
          <w:lang w:eastAsia="ru-RU"/>
        </w:rPr>
        <w:t>Протокол комиссии подписывается в течение двух рабочих дней с даты принятия решения комиссии, но позднее срока, установленного пунктом 14 настоящего Порядка.</w:t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eastAsia="Calibri" w:cs="Times New Roman" w:ascii="Times New Roman" w:hAnsi="Times New Roman"/>
          <w:color w:val="000000"/>
          <w:sz w:val="28"/>
          <w:szCs w:val="28"/>
          <w:lang w:eastAsia="ru-RU"/>
        </w:rPr>
        <w:t>Протокол комиссии направляется в Министерство в течение пяти рабочих дней с даты его подписания.</w:t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Times New Roman" w:hAnsi="Times New Roman"/>
          <w:sz w:val="28"/>
          <w:szCs w:val="28"/>
        </w:rPr>
      </w:pPr>
      <w:bookmarkStart w:id="5" w:name="sub_709"/>
      <w:r>
        <w:rPr>
          <w:rFonts w:eastAsia="Calibri" w:cs="Times New Roman" w:ascii="Times New Roman" w:hAnsi="Times New Roman"/>
          <w:color w:val="000000"/>
          <w:sz w:val="28"/>
          <w:szCs w:val="28"/>
          <w:lang w:eastAsia="ru-RU"/>
        </w:rPr>
        <w:t xml:space="preserve">12. Для участия в отборе соискатели денежного поощрения представляют в комиссию заявку по </w:t>
      </w:r>
      <w:r>
        <w:rPr>
          <w:rFonts w:eastAsia="Calibri" w:cs="Times New Roman" w:ascii="Times New Roman" w:hAnsi="Times New Roman"/>
          <w:color w:val="000000"/>
          <w:spacing w:val="-2"/>
          <w:sz w:val="28"/>
          <w:szCs w:val="28"/>
          <w:lang w:eastAsia="ru-RU"/>
        </w:rPr>
        <w:t>форме, утвержденной приказом об отборе, и следующие документы в составе заявки:</w:t>
      </w:r>
      <w:bookmarkEnd w:id="5"/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Times New Roman" w:hAnsi="Times New Roman" w:eastAsia="Calibri" w:cs="Times New Roman"/>
          <w:color w:val="000000"/>
          <w:sz w:val="28"/>
          <w:szCs w:val="28"/>
          <w:lang w:eastAsia="ru-RU"/>
        </w:rPr>
      </w:pPr>
      <w:r>
        <w:rPr>
          <w:rFonts w:eastAsia="Calibri" w:cs="Times New Roman" w:ascii="Times New Roman" w:hAnsi="Times New Roman"/>
          <w:color w:val="000000"/>
          <w:sz w:val="28"/>
          <w:szCs w:val="28"/>
          <w:lang w:eastAsia="ru-RU"/>
        </w:rPr>
        <w:t>согласие соискателя денежного поощрения на обработку персональных данных по форме, утвержденной приказом об отборе;</w:t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индивидуальный проект по форме утвержденной приказом Министерства. </w:t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eastAsia="Calibri" w:cs="Times New Roman" w:ascii="Times New Roman" w:hAnsi="Times New Roman"/>
          <w:color w:val="000000"/>
          <w:sz w:val="28"/>
          <w:szCs w:val="28"/>
          <w:lang w:eastAsia="ru-RU"/>
        </w:rPr>
        <w:t>копию документа, удостоверяющего личность соискателя денежного поощрения;</w:t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eastAsia="Calibri" w:cs="Times New Roman" w:ascii="Times New Roman" w:hAnsi="Times New Roman"/>
          <w:color w:val="000000"/>
          <w:sz w:val="28"/>
          <w:szCs w:val="28"/>
          <w:lang w:eastAsia="ru-RU"/>
        </w:rPr>
        <w:t>копию диплома об образовании и (или) о квалификации, заверенную руководителем работодателя или иным уполномоченным лицом работодателя;</w:t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eastAsia="Calibri" w:cs="Times New Roman" w:ascii="Times New Roman" w:hAnsi="Times New Roman"/>
          <w:color w:val="000000"/>
          <w:sz w:val="28"/>
          <w:szCs w:val="28"/>
          <w:lang w:eastAsia="ru-RU"/>
        </w:rPr>
        <w:t>копию трудовой книжки, заверенную работодателем или иным уполномоченным лицом работодателя, или сведения о трудовой деятельности и трудовом стаже соискателя денежного поощрения, полученные в порядке, установленном законодательством Российской Федерации об индивидуальном (персонифицированном) учете в системах обязательного пенсионного страхования и обязательного социального страхования;</w:t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eastAsia="Calibri" w:cs="Times New Roman" w:ascii="Times New Roman" w:hAnsi="Times New Roman"/>
          <w:color w:val="000000"/>
          <w:sz w:val="28"/>
          <w:szCs w:val="28"/>
          <w:lang w:eastAsia="ru-RU"/>
        </w:rPr>
        <w:t xml:space="preserve">справку о профессиональных достижениях соискателя денежного поощрения за год, на бумажном и (или) электронном носителе, заверенную работодателем или иным уполномоченным лицом работодателя (с приложением подтверждающих документов) </w:t>
      </w:r>
      <w:r>
        <w:rPr>
          <w:rFonts w:ascii="Times New Roman" w:hAnsi="Times New Roman"/>
          <w:sz w:val="28"/>
          <w:szCs w:val="28"/>
        </w:rPr>
        <w:t>по форме утвержденной приказом Министерства</w:t>
      </w:r>
      <w:r>
        <w:rPr>
          <w:rFonts w:eastAsia="Calibri" w:cs="Times New Roman" w:ascii="Times New Roman" w:hAnsi="Times New Roman"/>
          <w:color w:val="000000"/>
          <w:sz w:val="28"/>
          <w:szCs w:val="28"/>
          <w:lang w:eastAsia="ru-RU"/>
        </w:rPr>
        <w:t>;</w:t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eastAsia="Calibri" w:cs="Times New Roman" w:ascii="Times New Roman" w:hAnsi="Times New Roman"/>
          <w:color w:val="000000"/>
          <w:sz w:val="28"/>
          <w:szCs w:val="28"/>
          <w:lang w:eastAsia="ru-RU"/>
        </w:rPr>
        <w:t>выписку из приказа работодателя об осуществлении соискателем денежного поощрения трудовой деятельности в должности «методист», в объеме не менее одной тарифной ставки по основному месту работы;</w:t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eastAsia="Calibri" w:cs="Times New Roman" w:ascii="Times New Roman" w:hAnsi="Times New Roman"/>
          <w:color w:val="000000"/>
          <w:sz w:val="28"/>
          <w:szCs w:val="28"/>
          <w:lang w:eastAsia="ru-RU"/>
        </w:rPr>
        <w:t>справку об отсутствии неисполненной обязанности по уплате налогов, сборов, страховых взносов, пеней, штрафов и процентов, подлежащих уплате в соответствии с законодательством Российской Федерации о налогах и сборах;</w:t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Times New Roman" w:hAnsi="Times New Roman" w:eastAsia="Calibri" w:cs="Times New Roman"/>
          <w:color w:val="000000"/>
          <w:sz w:val="28"/>
          <w:szCs w:val="28"/>
          <w:lang w:eastAsia="ru-RU"/>
        </w:rPr>
      </w:pPr>
      <w:r>
        <w:rPr>
          <w:rFonts w:eastAsia="Calibri" w:cs="Times New Roman" w:ascii="Times New Roman" w:hAnsi="Times New Roman"/>
          <w:color w:val="000000"/>
          <w:sz w:val="28"/>
          <w:szCs w:val="28"/>
          <w:lang w:eastAsia="ru-RU"/>
        </w:rPr>
        <w:t xml:space="preserve">гарантийное письмо, подтверждающее соответствие соискателя денежного поощрения требованиям, установленным пунктом 7 настоящего Порядка. </w:t>
      </w:r>
    </w:p>
    <w:p>
      <w:pPr>
        <w:pStyle w:val="Normal"/>
        <w:suppressAutoHyphens w:val="false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По решению Министерства при наличии соответствующих технических возможностей подача заявок может быть организована в электронной форме с использованием информационно-коммуникационных технологий при условии соблюдения требований законодательства Российской Федерации (далее – электронная форма), в том числе в области защиты персональных данных. В случае подачи заявки в электронной форме документы, представленные в составе заявки, прилагаются к заявке в форме сканированных копий документов.</w:t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eastAsia="Calibri" w:cs="Times New Roman" w:ascii="Times New Roman" w:hAnsi="Times New Roman"/>
          <w:color w:val="000000"/>
          <w:sz w:val="28"/>
          <w:szCs w:val="28"/>
          <w:lang w:eastAsia="ru-RU"/>
        </w:rPr>
        <w:t>Представленные на отбор документы и материалы по окончании отбора соискателям денежного поощрения не возвращаются.</w:t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Times New Roman" w:hAnsi="Times New Roman" w:eastAsia="Calibri" w:cs="Times New Roman"/>
          <w:color w:val="000000"/>
          <w:sz w:val="28"/>
          <w:szCs w:val="28"/>
          <w:lang w:eastAsia="ru-RU"/>
        </w:rPr>
      </w:pPr>
      <w:r>
        <w:rPr>
          <w:rFonts w:eastAsia="Calibri" w:cs="Times New Roman" w:ascii="Times New Roman" w:hAnsi="Times New Roman"/>
          <w:color w:val="000000"/>
          <w:sz w:val="28"/>
          <w:szCs w:val="28"/>
          <w:lang w:eastAsia="ru-RU"/>
        </w:rPr>
        <w:t>Соискатель денежного поощрения несет ответственность за достоверность представляемых документов в составе заявки.</w:t>
      </w:r>
    </w:p>
    <w:p>
      <w:pPr>
        <w:pStyle w:val="BodyText"/>
        <w:widowControl w:val="false"/>
        <w:spacing w:lineRule="auto" w:line="240" w:before="0"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 случае если копии документов не заверены в установленном законодательством Российской Федерации порядке, они представляются с предъявлением оригиналов и заверяются секретарем комиссии.</w:t>
      </w:r>
    </w:p>
    <w:p>
      <w:pPr>
        <w:pStyle w:val="BodyText"/>
        <w:widowControl w:val="false"/>
        <w:spacing w:lineRule="auto" w:line="240" w:before="0"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Соискатель денежного поощрения при обращении в Министерство с заявлением предъявляет документ, удостоверяющий личность.</w:t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/>
      </w:pPr>
      <w:bookmarkStart w:id="6" w:name="sub_710"/>
      <w:bookmarkEnd w:id="6"/>
      <w:r>
        <w:rPr>
          <w:rFonts w:eastAsia="Calibri" w:cs="Times New Roman" w:ascii="Times New Roman" w:hAnsi="Times New Roman"/>
          <w:color w:val="000000"/>
          <w:sz w:val="28"/>
          <w:szCs w:val="28"/>
          <w:lang w:eastAsia="ru-RU"/>
        </w:rPr>
        <w:t xml:space="preserve">13. Поступившая оператору заявка с документами, представленными в ее составе, регистрируется в течение одного рабочего дня с даты ее поступления оператору по адресу его места нахождения. В случае подачи заявки почтовым отправлением заявка регистрируется оператором в течение одного рабочего дня с даты ее получения в почтовом отделении оператором. В случае подачи заявки </w:t>
      </w:r>
      <w:r>
        <w:rPr>
          <w:rStyle w:val="Style13"/>
          <w:rFonts w:eastAsia="Calibri" w:cs="Times New Roman" w:ascii="Times New Roman" w:hAnsi="Times New Roman"/>
          <w:color w:val="000000"/>
          <w:sz w:val="28"/>
          <w:szCs w:val="28"/>
          <w:lang w:eastAsia="ru-RU"/>
        </w:rPr>
        <w:t>в электронной форме оператор регистрирует заявку в течение одного рабочего дня с даты его поступления.</w:t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Times New Roman" w:hAnsi="Times New Roman" w:eastAsia="Calibri" w:cs="Times New Roman"/>
          <w:color w:val="000000"/>
          <w:sz w:val="28"/>
          <w:szCs w:val="28"/>
          <w:lang w:eastAsia="ru-RU"/>
        </w:rPr>
      </w:pPr>
      <w:r>
        <w:rPr>
          <w:rFonts w:eastAsia="Calibri" w:cs="Times New Roman" w:ascii="Times New Roman" w:hAnsi="Times New Roman"/>
          <w:color w:val="000000"/>
          <w:sz w:val="28"/>
          <w:szCs w:val="28"/>
          <w:lang w:eastAsia="ru-RU"/>
        </w:rPr>
        <w:t>Зарегистрированные заявки передаются оператором в комиссию в срок не позднее дня, следующего за днем окончания приема заявок, утвержденного приказом об отборе.</w:t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Проверку соответствия соискателей денежного поощрения требованиям, установленным </w:t>
      </w:r>
      <w:r>
        <w:rPr>
          <w:rFonts w:ascii="Times New Roman" w:hAnsi="Times New Roman"/>
          <w:color w:themeColor="text1" w:val="000000"/>
          <w:sz w:val="28"/>
          <w:szCs w:val="28"/>
        </w:rPr>
        <w:t>пунктом 7 настоящего Положения, а также комплектности представленных соискателями денежного поощрения документов, указанных в пункте 12 настоящего</w:t>
      </w:r>
      <w:r>
        <w:rPr>
          <w:rFonts w:ascii="Times New Roman" w:hAnsi="Times New Roman"/>
          <w:sz w:val="28"/>
          <w:szCs w:val="28"/>
        </w:rPr>
        <w:t xml:space="preserve"> Положения, соответствие документов условиям предоставления денежного поощрения, установленным </w:t>
      </w:r>
      <w:r>
        <w:rPr>
          <w:rFonts w:ascii="Times New Roman" w:hAnsi="Times New Roman"/>
          <w:color w:themeColor="text1" w:val="000000"/>
          <w:sz w:val="28"/>
          <w:szCs w:val="28"/>
        </w:rPr>
        <w:t>пунктом 6</w:t>
      </w:r>
      <w:r>
        <w:rPr>
          <w:rFonts w:ascii="Times New Roman" w:hAnsi="Times New Roman"/>
          <w:sz w:val="28"/>
          <w:szCs w:val="28"/>
        </w:rPr>
        <w:t xml:space="preserve"> настоящего Положения, осуществляет оператор в течение не более пяти рабочих дней со дня окончания срока приема заявок и передает заявки, допущенные к участию в отборе, а также сведения о заявках, не допущенных к участию в отборе с указанием оснований отказа в допуске к участию в отборе, указанных </w:t>
      </w:r>
      <w:r>
        <w:rPr>
          <w:rFonts w:ascii="Times New Roman" w:hAnsi="Times New Roman"/>
          <w:color w:themeColor="text1" w:val="000000"/>
          <w:sz w:val="28"/>
          <w:szCs w:val="28"/>
        </w:rPr>
        <w:t>в пункте 15 настоящего</w:t>
      </w:r>
      <w:r>
        <w:rPr>
          <w:rFonts w:ascii="Times New Roman" w:hAnsi="Times New Roman"/>
          <w:sz w:val="28"/>
          <w:szCs w:val="28"/>
        </w:rPr>
        <w:t xml:space="preserve"> Положения в комиссию.</w:t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Times New Roman" w:hAnsi="Times New Roman"/>
          <w:sz w:val="28"/>
          <w:szCs w:val="28"/>
        </w:rPr>
      </w:pPr>
      <w:bookmarkStart w:id="7" w:name="sub_711"/>
      <w:bookmarkStart w:id="8" w:name="sub_710_Копия_1"/>
      <w:bookmarkEnd w:id="7"/>
      <w:bookmarkEnd w:id="8"/>
      <w:r>
        <w:rPr>
          <w:rFonts w:eastAsia="Calibri" w:cs="Times New Roman" w:ascii="Times New Roman" w:hAnsi="Times New Roman"/>
          <w:color w:val="000000"/>
          <w:sz w:val="28"/>
          <w:szCs w:val="28"/>
          <w:lang w:eastAsia="ru-RU"/>
        </w:rPr>
        <w:t>14. Рассмотрение заявки и документов, представленных в ее составе, отбор осуществляется комиссией в течение 10 рабочих дней со дня окончания срока приема заявок.</w:t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Times New Roman" w:hAnsi="Times New Roman"/>
          <w:sz w:val="28"/>
          <w:szCs w:val="28"/>
        </w:rPr>
      </w:pPr>
      <w:bookmarkStart w:id="9" w:name="sub_712"/>
      <w:bookmarkStart w:id="10" w:name="sub_711_Копия_1"/>
      <w:bookmarkEnd w:id="10"/>
      <w:r>
        <w:rPr>
          <w:rFonts w:eastAsia="Calibri" w:cs="Times New Roman" w:ascii="Times New Roman" w:hAnsi="Times New Roman"/>
          <w:color w:val="000000"/>
          <w:sz w:val="28"/>
          <w:szCs w:val="28"/>
          <w:lang w:eastAsia="ru-RU"/>
        </w:rPr>
        <w:t>15. Основаниями для отказа соискателю денежного поощрения в участии в отборе являются:</w:t>
      </w:r>
      <w:bookmarkEnd w:id="9"/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eastAsia="Calibri" w:cs="Times New Roman" w:ascii="Times New Roman" w:hAnsi="Times New Roman"/>
          <w:color w:val="000000"/>
          <w:sz w:val="28"/>
          <w:szCs w:val="28"/>
          <w:lang w:eastAsia="ru-RU"/>
        </w:rPr>
        <w:t>непредставление (представление неполного комплекта) заявки и документов, предусмотренных пунктом 12 настоящего Порядка, или их несоответствие требованиям настоящего Порядка;</w:t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eastAsia="Calibri" w:cs="Times New Roman" w:ascii="Times New Roman" w:hAnsi="Times New Roman"/>
          <w:color w:val="000000"/>
          <w:sz w:val="28"/>
          <w:szCs w:val="28"/>
          <w:lang w:eastAsia="ru-RU"/>
        </w:rPr>
        <w:t>недостоверность представленной информации;</w:t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eastAsia="Calibri" w:cs="Times New Roman" w:ascii="Times New Roman" w:hAnsi="Times New Roman"/>
          <w:color w:val="000000"/>
          <w:sz w:val="28"/>
          <w:szCs w:val="28"/>
          <w:lang w:eastAsia="ru-RU"/>
        </w:rPr>
        <w:t>подача заявки и (или) документов после даты окончания срока приема заявок;</w:t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eastAsia="Calibri" w:cs="Times New Roman" w:ascii="Times New Roman" w:hAnsi="Times New Roman"/>
          <w:color w:val="000000"/>
          <w:sz w:val="28"/>
          <w:szCs w:val="28"/>
          <w:lang w:eastAsia="ru-RU"/>
        </w:rPr>
        <w:t>установление факта несоответствия соискателя денежного поощрения требованиям, установленным пунктом 7 настоящего Порядка, условиям предоставления денежного поощрения, установленным пунктом 6 настоящего Порядка.</w:t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eastAsia="Calibri" w:cs="Times New Roman" w:ascii="Times New Roman" w:hAnsi="Times New Roman"/>
          <w:color w:val="000000"/>
          <w:sz w:val="28"/>
          <w:szCs w:val="28"/>
          <w:lang w:eastAsia="ru-RU"/>
        </w:rPr>
        <w:t>В случае отказа соискателю денежного поощрения в участии в отборе оператор в 10-дневный срок, исчисляемый в рабочих днях, следующих за днем окончания срока подачи заявок, направляет соискателю денежного поощрения на адрес электронной почты, указанный в заявке, уведомление об этом с указанием оснований отказа в участии в отборе.</w:t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Times New Roman" w:hAnsi="Times New Roman"/>
          <w:sz w:val="28"/>
          <w:szCs w:val="28"/>
        </w:rPr>
      </w:pPr>
      <w:bookmarkStart w:id="11" w:name="sub_713"/>
      <w:r>
        <w:rPr>
          <w:rFonts w:eastAsia="Calibri" w:cs="Times New Roman" w:ascii="Times New Roman" w:hAnsi="Times New Roman"/>
          <w:color w:val="000000"/>
          <w:sz w:val="28"/>
          <w:szCs w:val="28"/>
          <w:lang w:eastAsia="ru-RU"/>
        </w:rPr>
        <w:t>16. Отбор включает в себя следующие этапы:</w:t>
      </w:r>
      <w:bookmarkEnd w:id="11"/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eastAsia="Calibri" w:cs="Times New Roman" w:ascii="Times New Roman" w:hAnsi="Times New Roman"/>
          <w:color w:val="000000"/>
          <w:sz w:val="28"/>
          <w:szCs w:val="28"/>
          <w:lang w:eastAsia="ru-RU"/>
        </w:rPr>
        <w:t>заявки соискателя денежного поощрения и документов, представленных в ее составе;</w:t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eastAsia="Calibri" w:cs="Times New Roman" w:ascii="Times New Roman" w:hAnsi="Times New Roman"/>
          <w:color w:val="000000"/>
          <w:sz w:val="28"/>
          <w:szCs w:val="28"/>
          <w:lang w:eastAsia="ru-RU"/>
        </w:rPr>
        <w:t>презента</w:t>
      </w:r>
      <w:bookmarkStart w:id="12" w:name="_GoBack"/>
      <w:bookmarkEnd w:id="12"/>
      <w:r>
        <w:rPr>
          <w:rFonts w:eastAsia="Calibri" w:cs="Times New Roman" w:ascii="Times New Roman" w:hAnsi="Times New Roman"/>
          <w:color w:val="000000"/>
          <w:sz w:val="28"/>
          <w:szCs w:val="28"/>
          <w:lang w:eastAsia="ru-RU"/>
        </w:rPr>
        <w:t>ция индивидуального проекта соискателя денежного поощрения в формате собеседования.</w:t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Times New Roman" w:hAnsi="Times New Roman"/>
          <w:sz w:val="28"/>
          <w:szCs w:val="28"/>
        </w:rPr>
      </w:pPr>
      <w:bookmarkStart w:id="13" w:name="sub_714"/>
      <w:r>
        <w:rPr>
          <w:rFonts w:eastAsia="Calibri" w:cs="Times New Roman" w:ascii="Times New Roman" w:hAnsi="Times New Roman"/>
          <w:color w:val="000000"/>
          <w:sz w:val="28"/>
          <w:szCs w:val="28"/>
          <w:lang w:eastAsia="ru-RU"/>
        </w:rPr>
        <w:t xml:space="preserve">17. По итогам отбора формируется ранжированный перечень соискателей денежного поощрения в порядке убывания набранных баллов за каждый этап отбора, предусмотренный пунктом 16 настоящего Порядка. Победителями отбора признаются соискатели денежного поощрения, набравшие наибольшее количество баллов по итогам отбора и занявшие в ранжированном перечне соискателей </w:t>
        <w:br/>
        <w:t xml:space="preserve">денежного поощрения (далее – ранжированный перечень) с первого по 305-е место. </w:t>
      </w:r>
      <w:bookmarkEnd w:id="13"/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highlight w:val="none"/>
          <w:shd w:fill="auto" w:val="clear"/>
        </w:rPr>
      </w:pPr>
      <w:r>
        <w:rPr>
          <w:rFonts w:eastAsia="Calibri" w:cs="Times New Roman" w:ascii="Times New Roman" w:hAnsi="Times New Roman"/>
          <w:color w:val="000000"/>
          <w:sz w:val="28"/>
          <w:szCs w:val="28"/>
          <w:shd w:fill="auto" w:val="clear"/>
          <w:lang w:eastAsia="ru-RU"/>
        </w:rPr>
        <w:t xml:space="preserve">В случае если соискателями </w:t>
      </w:r>
      <w:r>
        <w:rPr>
          <w:rFonts w:eastAsia="Calibri" w:cs="Times New Roman" w:ascii="Times New Roman" w:hAnsi="Times New Roman"/>
          <w:color w:val="000000"/>
          <w:sz w:val="28"/>
          <w:szCs w:val="28"/>
          <w:shd w:fill="auto" w:val="clear"/>
          <w:lang w:eastAsia="ru-RU"/>
        </w:rPr>
        <w:t>денежного поощрения</w:t>
      </w:r>
      <w:r>
        <w:rPr>
          <w:rFonts w:eastAsia="Calibri" w:cs="Times New Roman" w:ascii="Times New Roman" w:hAnsi="Times New Roman"/>
          <w:color w:val="000000"/>
          <w:sz w:val="28"/>
          <w:szCs w:val="28"/>
          <w:shd w:fill="auto" w:val="clear"/>
          <w:lang w:eastAsia="ru-RU"/>
        </w:rPr>
        <w:t xml:space="preserve"> набрано одинаковое количество баллов, выбор победителя определяется открытым голосованием комиссии в соответствии с пунктом 11 настоящего Порядка, которое проводится не позднее двух рабочих дней после выявления соискателей </w:t>
      </w:r>
      <w:r>
        <w:rPr>
          <w:rFonts w:eastAsia="Calibri" w:cs="Times New Roman" w:ascii="Times New Roman" w:hAnsi="Times New Roman"/>
          <w:color w:val="000000"/>
          <w:sz w:val="28"/>
          <w:szCs w:val="28"/>
          <w:shd w:fill="auto" w:val="clear"/>
          <w:lang w:eastAsia="ru-RU"/>
        </w:rPr>
        <w:t>денежного поощрения</w:t>
      </w:r>
      <w:r>
        <w:rPr>
          <w:rFonts w:eastAsia="Calibri" w:cs="Times New Roman" w:ascii="Times New Roman" w:hAnsi="Times New Roman"/>
          <w:color w:val="000000"/>
          <w:sz w:val="28"/>
          <w:szCs w:val="28"/>
          <w:shd w:fill="auto" w:val="clear"/>
          <w:lang w:eastAsia="ru-RU"/>
        </w:rPr>
        <w:t>, набравших одинаковое количество баллов по итогам всех этапов отбора.</w:t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Times New Roman" w:hAnsi="Times New Roman" w:eastAsia="Calibri" w:cs="Times New Roman"/>
          <w:color w:val="000000"/>
          <w:sz w:val="28"/>
          <w:szCs w:val="28"/>
          <w:lang w:eastAsia="ru-RU"/>
        </w:rPr>
      </w:pPr>
      <w:r>
        <w:rPr>
          <w:rFonts w:eastAsia="Calibri" w:cs="Times New Roman" w:ascii="Times New Roman" w:hAnsi="Times New Roman"/>
          <w:color w:val="000000"/>
          <w:sz w:val="28"/>
          <w:szCs w:val="28"/>
          <w:lang w:eastAsia="ru-RU"/>
        </w:rPr>
        <w:t>Ранжированный перечень прилагается к протоколу комиссии и является его неотъемлемой частью.</w:t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eastAsia="Calibri" w:cs="Times New Roman" w:ascii="Times New Roman" w:hAnsi="Times New Roman"/>
          <w:color w:val="000000"/>
          <w:sz w:val="28"/>
          <w:szCs w:val="28"/>
          <w:lang w:eastAsia="ru-RU"/>
        </w:rPr>
        <w:t>Протокол комиссии направляется в Министерство в течение пяти рабочих дней с даты его подписания.</w:t>
      </w:r>
    </w:p>
    <w:p>
      <w:pPr>
        <w:pStyle w:val="Normal"/>
        <w:widowControl w:val="false"/>
        <w:spacing w:lineRule="auto" w:line="240" w:before="0" w:after="0"/>
        <w:ind w:firstLine="709"/>
        <w:jc w:val="both"/>
        <w:rPr>
          <w:rFonts w:ascii="Times New Roman" w:hAnsi="Times New Roman" w:eastAsia="Calibri" w:cs="Times New Roman"/>
          <w:color w:val="000000"/>
          <w:sz w:val="28"/>
          <w:szCs w:val="28"/>
          <w:lang w:eastAsia="ru-RU"/>
        </w:rPr>
      </w:pPr>
      <w:r>
        <w:rPr>
          <w:rFonts w:eastAsia="Calibri" w:cs="Times New Roman" w:ascii="Times New Roman" w:hAnsi="Times New Roman"/>
          <w:color w:val="000000"/>
          <w:sz w:val="28"/>
          <w:szCs w:val="28"/>
          <w:lang w:eastAsia="ru-RU"/>
        </w:rPr>
        <w:t>18. Министерство на основании протокола комиссии принимает решение о предоставлении денежного поощрения либо об отказе в предоставлении денежного поощрения, утверждаемое приказом Министерства в течение пяти рабочих дней с даты поступления протокола комиссии.</w:t>
      </w:r>
    </w:p>
    <w:p>
      <w:pPr>
        <w:pStyle w:val="Normal"/>
        <w:suppressAutoHyphens w:val="false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19. П</w:t>
      </w:r>
      <w:r>
        <w:rPr>
          <w:rFonts w:eastAsia="Times New Roman" w:cs="Times New Roman" w:ascii="Times New Roman" w:hAnsi="Times New Roman"/>
          <w:sz w:val="28"/>
          <w:szCs w:val="28"/>
        </w:rPr>
        <w:t>редоставление денежного поощрения осуществляется Министерством не позднее 45 рабочих дней со дня принятия решения о предоставлении денежного поощрения путем перечисления денежных средств на счета получателей денежного поощрения, открытые в российских кредитных организациях.</w:t>
      </w:r>
    </w:p>
    <w:p>
      <w:pPr>
        <w:pStyle w:val="Normal"/>
        <w:suppressAutoHyphens w:val="false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20. Для получения денежного поощрения получатели денежного поощрения направляют в Министерство не позднее 15 рабочих дней с даты принятия решения о предоставлении денежного поощрения заявление о перечислении денежного поощрения в свободной форме, которое должно содержать следующую информацию:</w:t>
      </w:r>
    </w:p>
    <w:p>
      <w:pPr>
        <w:pStyle w:val="Normal"/>
        <w:suppressAutoHyphens w:val="false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фамилию, имя, отчество (последнее – при наличии) получателя денежного поощрения;</w:t>
      </w:r>
    </w:p>
    <w:p>
      <w:pPr>
        <w:pStyle w:val="Normal"/>
        <w:suppressAutoHyphens w:val="false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сведения об идентификационном номере налогоплательщика, страховом номере индивидуального лицевого счета получателя денежного поощрения;</w:t>
      </w:r>
    </w:p>
    <w:p>
      <w:pPr>
        <w:pStyle w:val="Normal"/>
        <w:suppressAutoHyphens w:val="false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реквизиты банковского счета получателя денежного поощрения, открытого в российской кредитной организации.</w:t>
      </w:r>
    </w:p>
    <w:p>
      <w:pPr>
        <w:pStyle w:val="Normal"/>
        <w:suppressAutoHyphens w:val="false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Министерство после получения указанного заявления не позднее срока, установленного пунктом 19 настоящего Положения, осуществляет перечисление денежного поощрения.</w:t>
      </w:r>
    </w:p>
    <w:p>
      <w:pPr>
        <w:pStyle w:val="Normal"/>
        <w:suppressAutoHyphens w:val="false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</w:r>
    </w:p>
    <w:p>
      <w:pPr>
        <w:pStyle w:val="Normal"/>
        <w:suppressAutoHyphens w:val="false"/>
        <w:spacing w:lineRule="auto" w:line="240" w:before="0" w:after="0"/>
        <w:jc w:val="center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__________________</w:t>
      </w:r>
    </w:p>
    <w:sectPr>
      <w:type w:val="nextPage"/>
      <w:pgSz w:w="11906" w:h="16838"/>
      <w:pgMar w:left="1134" w:right="567" w:gutter="0" w:header="0" w:top="851" w:footer="0" w:bottom="709"/>
      <w:pgNumType w:fmt="decimal"/>
      <w:formProt w:val="false"/>
      <w:textDirection w:val="lrTb"/>
      <w:docGrid w:type="default" w:linePitch="360" w:charSpace="1228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Liberation Serif">
    <w:altName w:val="Times New Roman"/>
    <w:charset w:val="01"/>
    <w:family w:val="roman"/>
    <w:pitch w:val="default"/>
  </w:font>
  <w:font w:name="OpenSymbol">
    <w:altName w:val="Arial Unicode MS"/>
    <w:charset w:val="01"/>
    <w:family w:val="roman"/>
    <w:pitch w:val="default"/>
  </w:font>
  <w:font w:name="PT Astra Serif">
    <w:charset w:val="01"/>
    <w:family w:val="roman"/>
    <w:pitch w:val="default"/>
  </w:font>
  <w:font w:name="Times New Roman">
    <w:charset w:val="01"/>
    <w:family w:val="roman"/>
    <w:pitch w:val="default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paragraph" w:styleId="Heading2">
    <w:name w:val="heading 2"/>
    <w:basedOn w:val="Title"/>
    <w:next w:val="BodyText"/>
    <w:qFormat/>
    <w:pPr>
      <w:spacing w:before="0" w:after="0"/>
      <w:outlineLvl w:val="1"/>
    </w:pPr>
    <w:rPr>
      <w:rFonts w:ascii="Liberation Serif" w:hAnsi="Liberation Serif" w:cs="Tahoma"/>
      <w:b/>
      <w:bCs/>
      <w:sz w:val="36"/>
      <w:szCs w:val="36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yperlink">
    <w:name w:val="Hyperlink"/>
    <w:rPr>
      <w:color w:val="000080"/>
      <w:u w:val="single"/>
    </w:rPr>
  </w:style>
  <w:style w:type="character" w:styleId="Style13" w:customStyle="1">
    <w:name w:val="Цветовое выделение для Текст"/>
    <w:qFormat/>
    <w:rPr/>
  </w:style>
  <w:style w:type="character" w:styleId="Style14" w:customStyle="1">
    <w:name w:val="Маркеры"/>
    <w:qFormat/>
    <w:rPr>
      <w:rFonts w:ascii="OpenSymbol" w:hAnsi="OpenSymbol" w:eastAsia="OpenSymbol" w:cs="OpenSymbol"/>
    </w:rPr>
  </w:style>
  <w:style w:type="character" w:styleId="Strong">
    <w:name w:val="Strong"/>
    <w:qFormat/>
    <w:rPr>
      <w:b/>
      <w:bCs/>
    </w:rPr>
  </w:style>
  <w:style w:type="paragraph" w:styleId="Style15">
    <w:name w:val="Заголовок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ascii="PT Astra Serif" w:hAnsi="PT Astra Serif"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16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Title">
    <w:name w:val="Title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user">
    <w:name w:val="Заголовок (user)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user1">
    <w:name w:val="Указатель (user)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IndexHeading">
    <w:name w:val="index heading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ListParagraph">
    <w:name w:val="List Paragraph"/>
    <w:basedOn w:val="Normal"/>
    <w:qFormat/>
    <w:pPr>
      <w:spacing w:before="0" w:after="200"/>
      <w:ind w:left="720"/>
      <w:contextualSpacing/>
    </w:pPr>
    <w:rPr/>
  </w:style>
  <w:style w:type="numbering" w:styleId="user2" w:customStyle="1">
    <w:name w:val="Без списка (user)"/>
    <w:uiPriority w:val="99"/>
    <w:semiHidden/>
    <w:unhideWhenUsed/>
    <w:qFormat/>
  </w:style>
  <w:style w:type="numbering" w:styleId="Style17" w:customStyle="1">
    <w:name w:val="Без списка"/>
    <w:uiPriority w:val="99"/>
    <w:semiHidden/>
    <w:unhideWhenUsed/>
    <w:qFormat/>
  </w:style>
  <w:style w:type="table" w:default="1" w:styleId="a3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703</TotalTime>
  <Application>LibreOffice/25.2.3.2$Linux_X86_64 LibreOffice_project/520$Build-2</Application>
  <AppVersion>15.0000</AppVersion>
  <Pages>7</Pages>
  <Words>2094</Words>
  <Characters>15863</Characters>
  <CharactersWithSpaces>17922</CharactersWithSpaces>
  <Paragraphs>93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2026-02-11T08:32:00Z</dcterms:created>
  <dc:creator>Пользователь Windows</dc:creator>
  <dc:description/>
  <dc:language>ru-RU</dc:language>
  <cp:lastModifiedBy/>
  <dcterms:modified xsi:type="dcterms:W3CDTF">2026-04-09T15:13:24Z</dcterms:modified>
  <cp:revision>83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